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2012/249 vom 22. Oktober 2013</w:t>
      </w:r>
    </w:p>
    <w:p>
      <w:r>
        <w:t>Sg Versicherungsgericht, 2013-10-22, DE</w:t>
      </w:r>
    </w:p>
    <w:p>
      <w:r>
        <w:rPr>
          <w:b/>
        </w:rPr>
        <w:t xml:space="preserve">Quelle: </w:t>
      </w:r>
      <w:r>
        <w:t>https://mcp.opencaselaw.ch/entscheid/sg_publikationen_IV 2012_249</w:t>
      </w:r>
    </w:p>
    <w:p>
      <w:r>
        <w:t>FR: SG_VERSICHERUNGSGERICHT IV 2012/249 du 22 octobre 2013</w:t>
      </w:r>
    </w:p>
    <w:p>
      <w:r>
        <w:t>IT: SG_VERSICHERUNGSGERICHT IV 2012/249 del 22 ottobre 2013</w:t>
      </w:r>
    </w:p>
    <w:p>
      <w:pPr>
        <w:pStyle w:val="Heading2"/>
      </w:pPr>
      <w:r>
        <w:t>Regeste</w:t>
      </w:r>
    </w:p>
    <w:p>
      <w:r>
        <w:t>Art. 42bis und Art. 42ter IVG. Hilflosenentschädigung und Intensivpflegezuschlag für Minderjährige. Medizinisch nicht rechtsgenüglich abgeklärte Verhältnisse. Ergebnisse der Abklärung an Ort und Stelle deshalb nicht beweiskräftig (Entscheid des Versicherungsgerichts des Kantons St. Gallen vom 22. Oktober 2013, IV 2012/249).</w:t>
      </w:r>
    </w:p>
    <w:p>
      <w:pPr>
        <w:pStyle w:val="Heading2"/>
      </w:pPr>
      <w:r>
        <w:t>Erwägungen</w:t>
      </w:r>
    </w:p>
    <w:p>
      <w:r>
        <w:rPr>
          <w:b/>
        </w:rPr>
        <w:t>E. 1</w:t>
      </w:r>
    </w:p>
    <w:p>
      <w:r>
        <w:t>Zwischen den Parteien ist der Anspruch des Beschwerdeführers auf eine Hilflosenentschädigung für Minderjährige sowie einen Intensivpflegezuschlag umstritten.</w:t>
      </w:r>
    </w:p>
    <w:p>
      <w:r>
        <w:rPr>
          <w:b/>
        </w:rPr>
        <w:t>E. 2.1</w:t>
      </w:r>
    </w:p>
    <w:p>
      <w:r>
        <w:t>Versicherte, die hilflos sind, haben Anspruch auf eine Hilflosenentschädigung (Art. 42 Abs. 1 des Bundesgesetzes über die Invalidenversicherung [IVG; SR 831.20]). Als hilflos gilt, wer wegen einer Beeinträchtigung der Gesundheit für alltägliche Lebensverrichtungen dauernd der Hilfe Dritter oder der persönlichen Überwachung bedarf (Art. 9 des Bundesgesetzes über den Allgemeinen Teil des Sozialversicherungsrechts [ATSG; SR 830.1]). Für die Annahme von Hilflosigkeit in einer mehrere Teilfunktionen umfassenden Lebensverrichtung genügt es, wenn die versicherte Person in Bezug auf eine dieser Funktionen regelmässig in erheblicher Weise auf (direkte oder indirekte) Dritthilfe angewiesen ist. Eine blosse Erschwerung oder verlangsamte Vornahme von Lebensverrichtungen vermag nicht bereits eine Hilflosigkeit zu begründen (Urteil des Bundesgerichts vom 22. August 2012, 9C_373/2012, E. 4.2 mit Hinweisen). Bei der Bemessung der Hilflosigkeit ist zwischen schwerer, mittelschwerer und leichter Hilflosigkeit zu unterscheiden (Art. 42 Abs. 2 IVG; Art. 37 der Verordnung über die Invalidenversicherung [IVV; SR 831.201]); zur Bestimmung des Hilflosigkeitsgrades sind nach der Rechtsprechung (BGE 121 V 90 E. 3a) die folgenden sechs alltäglichen Lebensverrichtungen massgebend: Ankleiden, Auskleiden; Aufstehen, Absitzen, Abliegen; Essen; Körperpflege; Verrichten der Notdurft; Fortbewegung (im oder ausser Haus) und Kontaktaufnahme (BGE 127 V 97 E. 3c, 125 V 303 E. 4a).</w:t>
      </w:r>
    </w:p>
    <w:p>
      <w:r>
        <w:rPr>
          <w:b/>
        </w:rPr>
        <w:t>E. 2.2</w:t>
      </w:r>
    </w:p>
    <w:p>
      <w:r>
        <w:t>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Gemäss Art. 37 Abs. 2 IVV gilt die Hilflosigkeit als mittelschwer, wenn die versicherte Person trotz der Abgabe von Hilfsmitteln: a. in den meisten alltäglichen Lebensverrichtungen regelmässig in erheblicher Weise auf die Hilfe Dritter angewiesen ist (was rechtsprechungsgemäss erfüllt ist, wenn eine Hilfsbedürftigkeit in mindestens 4 alltäglichen Lebensverrichtungen besteht; BGE 121 V 90 E. 3b und Urteil des Bundesgerichts vom 5. März 2009, 8C_912/2008, E. 3.2.1); b. in mindestens zwei alltäglichen Lebensverrichtungen regelmässig in erheblicher Weise auf die Hilfe Dritter angewiesen ist und überdies einer dauernden persönlichen Überwachung bedarf; oder c. in mindestens zwei alltäglichen Lebensverrichtungen regelmässig in erheblicher Weise auf die Hilfe Dritter und überdies dauernd auf lebenspraktische Begleitung im Sinn von Art. 38 IVV, welche volljährigen Personen vorbehalten ist, angewiesen ist. Die Hilflosigkeit gilt als leicht, wenn die ver­sicherte Person trotz der Abgabe von Hilfsmitteln (Art. 37 Abs. 3 IVV): a. in mindestens zwei alltäglichen Lebensverrichtungen regelmässig in erheblicher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 von Art. 38 IVV angewiesen ist. Bei Minderjährigen ist nur der Mehrbedarf an Hilfeleistung und persönlicher Überwachung im Vergleich zu nicht behinderten Minderjährigen gleichen Alters zu berücksichtigen (Art. 37 Abs. 4 IVV).</w:t>
      </w:r>
    </w:p>
    <w:p>
      <w:r>
        <w:rPr>
          <w:b/>
        </w:rPr>
        <w:t>E. 2.3</w:t>
      </w:r>
    </w:p>
    <w:p>
      <w:r>
        <w:t>Das Ausmass der persönlichen Hilflosigkeit ist für die Höhe der Hilflosenentschädigung massgebend. Die monatliche Entschädigung beträgt bei schwerer Hilflosigkeit 80%, bei mittelschwerer Hilflosigkeit 50% und bei leichter Hilflosigkeit 20% des Höchstbetrags der Altersrente nach Art. 34 Abs. 3 und 5 des Bundesgesetzes über die Alters- und Hinterlassenenversicherung (AHVG; SR 831.10); die Entschädigung für minderjährige Versicherte berechnet sich pro Tag (Art. 42 ter Abs. 1 IVG).</w:t>
      </w:r>
    </w:p>
    <w:p>
      <w:r>
        <w:rPr>
          <w:b/>
        </w:rPr>
        <w:t>E. 2.4</w:t>
      </w:r>
    </w:p>
    <w:p>
      <w:r>
        <w:t>Gemäss Art. 42 ter Abs. 3 IVG wird die Hilflosenentschädigung für Minderjährige, die zusätzlich eine intensive Betreuung brauchen, um einen Intensivpflegezuschlag erhöht; dieser Zuschlag wird nicht gewährt bei einem Aufenthalt im Heim. Der monatliche Intensivpflegezuschlag beträgt bei einem invaliditätsbedingten Betreuungsaufwand von mindestens acht Stunden pro Tag 60%, bei einem solchen von mindestens sechs Stunden pro Tag 40% und bei einem solchen von mindestens vier Stunden pro Tag 20% des Höchstbetrags der Altersrente nach Art. 34 Abs. 3 und 5 des Bundesgesetzes über die Alters- und Hinterlassenenversicherung (AHVG; SR 831.10). Der Zuschlag berechnet sich pro Tag. Der Bundesrat regelt im Übrigen die Einzelheiten. Gestützt auf diese Delegationsnorm hat der Verordnungsgeber in Art. 39 Abs. 1 IVV festgehalten, eine intensive Betreuung liege bei Minderjährigen vor, wenn diese im Tagesdurchschnitt infolge Beeinträchtigung der Gesundheit zusätzliche Betreuung von mindestens vier Stunden benötigen. Anrechenbar als Betreuung ist der Mehrbedarf an Behandlungs- und Grundpflege im Vergleich zu nicht behinderten Minderjährigen gleichen Alters. Nicht an­rechenbar ist der Zeitaufwand für ärztlich verordnete medizinische Massnahmen, die durch medizinische Hilfspersonen vorgenommen werden, sowie für pädagogisch-therapeutische Massnahmen (Art. 39 Abs. 2 IVV).</w:t>
      </w:r>
    </w:p>
    <w:p>
      <w:r>
        <w:rPr>
          <w:b/>
        </w:rPr>
        <w:t>E. 2.5</w:t>
      </w:r>
    </w:p>
    <w:p>
      <w:r>
        <w:t>Zur Beurteilung der Frage, ob eine versicherte Person zufolge beeinträchtigter Gesundheit hilflos ist, ist eine enge, sich ergänzende Zusammenarbeit zwischen medizinischer Fachperson und Verwaltung erforderlich. Erstere hat anzugeben, inwiefern die versicherte Person in ihren körperlichen bzw. geistigen Funktionen durch das Leiden eingeschränkt ist. Der Versicherungsträger kann an Ort und Stelle weitere Abklärungen vornehmen. Bei Unklarheiten über physische oder psychische Störungen oder deren Auswirkungen auf alltägliche Lebensverrichtungen sind Rückfragen an die medizinischen Fachpersonen nicht nur zulässig, sondern notwendig. Des Weiteren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(Urteil des Bundesgerichts vom 30. März 2012, 9C_428/2011, E. 2 mit Hinweisen). Diese Rechtsprechung gilt entsprechend auch für die Abklärung der Hilflosigkeit unter dem Aspekt des Intensivpflegezuschlags  (Urteil des Bundesgerichts vom 12. Juli 2012, 8C_756/2011, E. 3.2).</w:t>
      </w:r>
    </w:p>
    <w:p>
      <w:r>
        <w:rPr>
          <w:b/>
        </w:rPr>
        <w:t>E. 3</w:t>
      </w:r>
    </w:p>
    <w:p>
      <w:r>
        <w:t>Bei der Würdigung des Abklärungsberichts entstehen vorab Zweifel, ob dieser auf einer medizinisch hinreichend untersuchten Grundlage beruht.</w:t>
      </w:r>
    </w:p>
    <w:p>
      <w:r>
        <w:rPr>
          <w:b/>
        </w:rPr>
        <w:t>E. 3.1</w:t>
      </w:r>
    </w:p>
    <w:p>
      <w:r>
        <w:t>So finden sich keine medizinischen Einschätzungen bezüglich des vom Vater des Beschwerdeführers vorgebrachten (act. G 4.4-4 f.) und von Dr. B.___ bestätigten (act. G 4.5) fehlenden Schmerzempfindens. Dies erscheint umso weniger nachvollziehbar, als die zuständige Früherzieherin von einer Körperwahrnehmungsstörung sprach (act. G 4.13) und der Rechtsvertreter des Beschwerdeführers im Schreiben vom 24. Januar 2012 u.a. auf die Person des behandelnden Kinderneurologen hinwies (act. G 4.17). Gerade mit Blick auf die vorliegend u.a. interessierenden Fragen nach der Überwachungsbedürftigkeit - und damit verbunden nach der Fähigkeit des Beschwerdeführers zur Gefahrenerkennung und -einschätzung - sowie der Pflege der sozialen Kontakte durfte die neurologische Situation nicht ungeklärt bleiben. Des Weiteren bedarf die Aussage des Vaters des Beschwerdeführers, dieser lebe "in seiner eigenen Welt" (act. G 4.4-6) einer medizinischen Einordnung. Mit diesem Hintergrund und dem Hinweis der Früherzieherin, der Beschwerdeführer sei "in allen Bereichen der Entwicklung extrem zurückgeblieben" (act. G 4.13-2), lässt sich im Übrigen die Angabe der Abklärungsperson nicht vereinbaren, es lägen kognitiv keine Defizite vor (act. G 4.22-1), zumal unklar bleibt, worauf sie diese - nicht in den Vorakten enthaltene - Erkenntnis stützte. Dieser Umstand erweckt den Eindruck, dass die Abklärungsperson nicht den gesamten relevanten medizinischen Umständen Rechnung getragen hat.</w:t>
      </w:r>
    </w:p>
    <w:p>
      <w:r>
        <w:rPr>
          <w:b/>
        </w:rPr>
        <w:t>E. 3.2</w:t>
      </w:r>
    </w:p>
    <w:p>
      <w:r>
        <w:t>Hinzu kommt, dass auch hinsichtlich der Atemprobleme und der Behandlung mit einem Inhalationsgerät (vgl. hierzu act. G 4.22-7) keinerlei medizinische Erkenntnisse aus den Akten gewonnen werden können, womit sich namentlich die Frage nach dem Aufwand für therapeutische Massnahmen nicht rechtsgenüglich beantworten lässt. Der Einsatz des Inhalationsgeräts wurde denn auch gar nie näher "thematisiert" (act. G 4.45). Auch dieser für die Hilfsbedürftigkeit allenfalls wesentliche Aspekt erweist sich damit als noch medizinisch abklärungsbedürftig.</w:t>
      </w:r>
    </w:p>
    <w:p>
      <w:r>
        <w:rPr>
          <w:b/>
        </w:rPr>
        <w:t>E. 3.3</w:t>
      </w:r>
    </w:p>
    <w:p>
      <w:r>
        <w:t>Nach dem Gesagten erweist sich der medizinische Sachverhalt hinsichtlich der Frage nach der Hilfsbedürftigkeit als nicht genügend abgeklärt, weshalb es an den erforderlichen Grundlagen für die Beurteilung der Ansprüche auf eine Hilflosenentschädigung und einen Intensivpflegezuschlag fehlt. Hinsichtlich des Anspruchs auf eine Hilf­losenentschädigung ist zu bemerken, dass ein invaliditätsbedingter Bedarf an wesent­licher Dritthilfe in den Bereichen An- und Auskleiden, Essen sowie Verrichten der Notdurft unbestritten ist. Was die Aspekte der Fortbewegung bzw. der Pflege gesellschaft­licher Kontakte und der Körperpflege anbelangt, so besteht vorliegend kein Anlass, von dem im KSIH vertretenen Grundsatz abzuweichen, wonach ein invaliditätsbedingter wesentlicher Bedarf an Dritthilfe erst mit sechs Jahren angerechnet werden kann (Anhang III, S. 185 f.). Abklärungsbedürftig ist jedoch auch hier die Frage des Bedarfs einer dauernden und erheblichen Überwachung. Die Sache ist daher an die Beschwerdegegnerin zurückzuweisen, damit sie zunächst den Gesundheitszustand des Beschwerdeführers unter Berücksichtigung des gesamten Leidensbilds, insbesondere neurologisch/neu­ropädiatrisch, abkläre und hernach erneut eine Abklärung an Ort und Stelle zur Beurteilung der Hilfsbedürftigkeit durchführe sowie neu über die Ansprüche auf Hilflosenentschädigung und Intensivpflegezuschlag verfüge. Da sich die Sache als noch nicht spruchreif erweist und sie an die Beschwerdegegnerin zur Vornahme weiterer insbesondere auch medizinischer Abklärungen zurückzuweisen ist, erübrigt sich die Durchführung der vom Rechtsvertreter des Beschwerdeführers beantragten mündlichen Verhandlung (act. G 11, S. 1).</w:t>
      </w:r>
    </w:p>
    <w:p>
      <w:r>
        <w:rPr>
          <w:b/>
        </w:rPr>
        <w:t>E. 3.4</w:t>
      </w:r>
    </w:p>
    <w:p>
      <w:r>
        <w:t>Der Vollständigkeit halber ist hinsichtlich der neuen Abklärung an Ort und Stelle darauf hinzuweisen, dass die im Kreisschreiben über Invalidität und Hilflosigkeit in der Invalidenversicherung (KSIH; in der vorliegend ab 1. Januar 2012 gültigen Fassung) enthaltenen Richtlinien zur Bemessung der massgebenden Hilflosigkeit bei Minderjährigen "Orientierungswerte" enthalten, "die nicht in jedem Fall absolut anzuwenden sind". In diesem Sinn sind die Richtlinien flexibel zu handhaben (KSIH, Anhang III, S. 183). Insbesondere fällt bei Erethismus (gesteigerte Erregbarkeit und Aktivität mit Bewegungsunruhe; vgl. Pschyrembel, Klinisches Wörterbuch, 260. Auflage, Berlin 2004, S. 519) und ähnlichen Zuständen eine persönliche Überwachungsbedürftigkeit bereits vor dem 6. Altersjahr in Betracht (KSIH, S. 187). Ob ein solcher bzw. gleichgearteter Zustand beim Beschwerdeführer tatsächlich vorliegt, wofür Hinweise in den Akten bestehen (vgl. vorstehende E. 3.1), und welche Auswirkung ihm hinsichtlich der Hilfs- bzw. Überwachungsbedürftigkeit zukommt, wird sich erst im Rahmen der noch vorzunehmenden medizinischen Abklärungen zeigen. Schliesslich wird die zu beauftragende Abklärungsperson zu beachten haben, dass bezüglich der Hilfsbedürftigkeit trotz der im Anhang III KSIH geregelten Richtwerte allein massgebend ist, ob gegenüber gesunden Kindern gleichen Alters tatsächlich ein Mehraufwand besteht (Urteil des Bundesgerichts vom 30. März 2012, 9C_428/2011, E. 3.4 mit Hinweis darauf, dass sich dieser Grundsatz auch aus dem KSIH ergebe).</w:t>
      </w:r>
    </w:p>
    <w:p>
      <w:r>
        <w:rPr>
          <w:b/>
        </w:rPr>
        <w:t>E. 4.1</w:t>
      </w:r>
    </w:p>
    <w:p>
      <w:r>
        <w:t>Nach dem Gesagten ist die angefochtene Verfügung vom 29. Mai 2012 in teilweiser Gutheissung der Beschwerde aufzuheben und die Sache ist zur weiteren Abklärung im Sinn der Erwägungen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dem Beschwerdeführer zurückzuerstatten.</w:t>
      </w:r>
    </w:p>
    <w:p>
      <w:r>
        <w:rPr>
          <w:b/>
        </w:rPr>
        <w:t>E. 4.3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3'000.-- (inklusive Barauslagen und Mehrwertsteuer) als angemessen. Demgemäss hat das Versicherungsgericht im Zirkulationsverfahren gemäss Art. 39 VRP entschieden: 1.  In teilweiser Gutheissung der Beschwerde wird die angefochtene Verfügung vom 29. Mai 2012 aufgehoben und die Sache wird zur weiteren Abklärung im Sinn der Erwägungen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